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5250D" w14:textId="518FF5F3" w:rsidR="00362042" w:rsidRPr="00362042" w:rsidRDefault="00821B0D" w:rsidP="007604A7">
      <w:pPr>
        <w:jc w:val="center"/>
        <w:rPr>
          <w:rFonts w:cstheme="minorHAnsi"/>
          <w:b/>
          <w:bCs/>
          <w:color w:val="202122"/>
          <w:sz w:val="36"/>
          <w:szCs w:val="36"/>
          <w:u w:val="single"/>
          <w:shd w:val="clear" w:color="auto" w:fill="FFFFFF"/>
        </w:rPr>
      </w:pPr>
      <w:r w:rsidRPr="00362042">
        <w:rPr>
          <w:rFonts w:cstheme="minorHAnsi"/>
          <w:b/>
          <w:bCs/>
          <w:sz w:val="36"/>
          <w:szCs w:val="36"/>
          <w:u w:val="single"/>
        </w:rPr>
        <w:t>Décision</w:t>
      </w:r>
      <w:r w:rsidR="00362042" w:rsidRPr="00362042">
        <w:rPr>
          <w:rFonts w:cstheme="minorHAnsi"/>
          <w:b/>
          <w:bCs/>
          <w:sz w:val="36"/>
          <w:szCs w:val="36"/>
          <w:u w:val="single"/>
        </w:rPr>
        <w:t>s</w:t>
      </w:r>
      <w:r w:rsidRPr="00362042"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Pr="00B26404">
        <w:rPr>
          <w:rFonts w:cstheme="minorHAnsi"/>
          <w:b/>
          <w:bCs/>
          <w:caps/>
          <w:sz w:val="36"/>
          <w:szCs w:val="36"/>
          <w:u w:val="single"/>
        </w:rPr>
        <w:t>La Faute sur Mer</w:t>
      </w:r>
      <w:r w:rsidR="00362042" w:rsidRPr="00362042">
        <w:rPr>
          <w:rFonts w:cstheme="minorHAnsi"/>
          <w:b/>
          <w:bCs/>
          <w:color w:val="202122"/>
          <w:sz w:val="36"/>
          <w:szCs w:val="36"/>
          <w:u w:val="single"/>
          <w:shd w:val="clear" w:color="auto" w:fill="FFFFFF"/>
        </w:rPr>
        <w:t xml:space="preserve"> (85460)</w:t>
      </w:r>
    </w:p>
    <w:p w14:paraId="662ACCCE" w14:textId="292510D3" w:rsidR="00783A51" w:rsidRPr="00362042" w:rsidRDefault="00362042" w:rsidP="007604A7">
      <w:pPr>
        <w:jc w:val="center"/>
        <w:rPr>
          <w:i/>
          <w:iCs/>
          <w:sz w:val="24"/>
          <w:szCs w:val="24"/>
        </w:rPr>
      </w:pPr>
      <w:r w:rsidRPr="00362042">
        <w:rPr>
          <w:i/>
          <w:iCs/>
          <w:sz w:val="24"/>
          <w:szCs w:val="24"/>
        </w:rPr>
        <w:t>Depuis le</w:t>
      </w:r>
      <w:r>
        <w:rPr>
          <w:i/>
          <w:iCs/>
          <w:sz w:val="24"/>
          <w:szCs w:val="24"/>
        </w:rPr>
        <w:t xml:space="preserve"> </w:t>
      </w:r>
      <w:r w:rsidRPr="00362042">
        <w:rPr>
          <w:i/>
          <w:iCs/>
          <w:sz w:val="24"/>
          <w:szCs w:val="24"/>
        </w:rPr>
        <w:t>1</w:t>
      </w:r>
      <w:r w:rsidRPr="00362042">
        <w:rPr>
          <w:i/>
          <w:iCs/>
          <w:sz w:val="24"/>
          <w:szCs w:val="24"/>
          <w:vertAlign w:val="superscript"/>
        </w:rPr>
        <w:t>er</w:t>
      </w:r>
      <w:r w:rsidRPr="00362042">
        <w:rPr>
          <w:i/>
          <w:iCs/>
          <w:sz w:val="24"/>
          <w:szCs w:val="24"/>
        </w:rPr>
        <w:t xml:space="preserve"> janvier 2022, </w:t>
      </w:r>
      <w:r>
        <w:rPr>
          <w:i/>
          <w:iCs/>
          <w:sz w:val="24"/>
          <w:szCs w:val="24"/>
        </w:rPr>
        <w:t>c’</w:t>
      </w:r>
      <w:r w:rsidRPr="00362042">
        <w:rPr>
          <w:i/>
          <w:iCs/>
          <w:sz w:val="24"/>
          <w:szCs w:val="24"/>
        </w:rPr>
        <w:t>est une</w:t>
      </w:r>
      <w:r>
        <w:rPr>
          <w:i/>
          <w:iCs/>
          <w:sz w:val="24"/>
          <w:szCs w:val="24"/>
        </w:rPr>
        <w:t xml:space="preserve"> </w:t>
      </w:r>
      <w:r w:rsidRPr="00362042">
        <w:rPr>
          <w:i/>
          <w:iCs/>
          <w:sz w:val="24"/>
          <w:szCs w:val="24"/>
        </w:rPr>
        <w:t>commune déléguée</w:t>
      </w:r>
      <w:r>
        <w:rPr>
          <w:i/>
          <w:iCs/>
          <w:sz w:val="24"/>
          <w:szCs w:val="24"/>
        </w:rPr>
        <w:t xml:space="preserve"> </w:t>
      </w:r>
      <w:r w:rsidRPr="00362042">
        <w:rPr>
          <w:i/>
          <w:iCs/>
          <w:sz w:val="24"/>
          <w:szCs w:val="24"/>
        </w:rPr>
        <w:t>de la</w:t>
      </w:r>
      <w:r>
        <w:rPr>
          <w:i/>
          <w:iCs/>
          <w:sz w:val="24"/>
          <w:szCs w:val="24"/>
        </w:rPr>
        <w:t xml:space="preserve"> </w:t>
      </w:r>
      <w:r w:rsidRPr="00362042">
        <w:rPr>
          <w:i/>
          <w:iCs/>
          <w:sz w:val="24"/>
          <w:szCs w:val="24"/>
        </w:rPr>
        <w:t>commune nouvelle</w:t>
      </w:r>
      <w:r>
        <w:rPr>
          <w:i/>
          <w:iCs/>
          <w:sz w:val="24"/>
          <w:szCs w:val="24"/>
        </w:rPr>
        <w:t xml:space="preserve"> </w:t>
      </w:r>
      <w:r w:rsidRPr="00362042">
        <w:rPr>
          <w:i/>
          <w:iCs/>
          <w:sz w:val="24"/>
          <w:szCs w:val="24"/>
        </w:rPr>
        <w:t>de</w:t>
      </w:r>
      <w:r>
        <w:rPr>
          <w:i/>
          <w:iCs/>
          <w:sz w:val="24"/>
          <w:szCs w:val="24"/>
        </w:rPr>
        <w:t xml:space="preserve"> </w:t>
      </w:r>
      <w:r w:rsidRPr="00362042">
        <w:rPr>
          <w:i/>
          <w:iCs/>
          <w:sz w:val="24"/>
          <w:szCs w:val="24"/>
        </w:rPr>
        <w:t>L'Aiguillon-la-Presqu'île</w:t>
      </w:r>
    </w:p>
    <w:p w14:paraId="7AC633CD" w14:textId="77777777" w:rsidR="00647B4D" w:rsidRDefault="00647B4D" w:rsidP="00DB458B"/>
    <w:p w14:paraId="2A2F7241" w14:textId="44F910FB" w:rsidR="00647B4D" w:rsidRDefault="00647B4D" w:rsidP="00DB458B">
      <w:r>
        <w:t>Le CLC demandait</w:t>
      </w:r>
      <w:r w:rsidR="00AC091D">
        <w:t> :</w:t>
      </w:r>
    </w:p>
    <w:p w14:paraId="3D55C4E7" w14:textId="1772FED1" w:rsidR="00647B4D" w:rsidRDefault="00647B4D" w:rsidP="00DB458B">
      <w:r>
        <w:t>1°) L’abrogation de l’arrêté de 2014 interdisant le stationnement des camping-cars ainsi que le retrait des panneaux y afférant.</w:t>
      </w:r>
    </w:p>
    <w:p w14:paraId="1AAC2016" w14:textId="63A0771A" w:rsidR="00647B4D" w:rsidRDefault="00647B4D" w:rsidP="00DB458B">
      <w:r>
        <w:t>2°) Le démontage des portiques interdisant l’accès de parkings aux véhicules de 2 m de haut et plus</w:t>
      </w:r>
    </w:p>
    <w:p w14:paraId="07B47D34" w14:textId="5256FA76" w:rsidR="00647B4D" w:rsidRDefault="00647B4D" w:rsidP="00DB458B">
      <w:r>
        <w:t xml:space="preserve">Durant la procédure, la municipalité de l’Aiguillon, </w:t>
      </w:r>
      <w:r w:rsidR="007604A7">
        <w:t>venant aux droits de</w:t>
      </w:r>
      <w:r>
        <w:t xml:space="preserve"> La Faute sur Mer, a </w:t>
      </w:r>
      <w:r w:rsidR="007604A7">
        <w:t>a</w:t>
      </w:r>
      <w:r>
        <w:t xml:space="preserve">brogé </w:t>
      </w:r>
      <w:r w:rsidR="007604A7">
        <w:t xml:space="preserve">en 2021 </w:t>
      </w:r>
      <w:r>
        <w:t>son arrêté et a fait savoir au Tribunal que les panneaux avaient été retirés</w:t>
      </w:r>
      <w:r w:rsidR="0018662F">
        <w:t>. Les demandes du CLC d’abrogation et de retrait des panneaux ne pouvaient en conséquence plus être recevables.</w:t>
      </w:r>
    </w:p>
    <w:p w14:paraId="35AFE334" w14:textId="7C40E6DD" w:rsidR="00647B4D" w:rsidRDefault="00647B4D" w:rsidP="00DB458B">
      <w:r>
        <w:t xml:space="preserve">La décision dont les extraits figurent ci-dessous répond </w:t>
      </w:r>
      <w:r w:rsidR="0018662F">
        <w:t xml:space="preserve">donc seulement </w:t>
      </w:r>
      <w:r>
        <w:t>à la demande concernant les portiques toujours en place.</w:t>
      </w:r>
    </w:p>
    <w:p w14:paraId="39E5F499" w14:textId="77777777" w:rsidR="00647B4D" w:rsidRDefault="00647B4D" w:rsidP="00DB458B"/>
    <w:p w14:paraId="2CC65755" w14:textId="34D94F1B" w:rsidR="00647B4D" w:rsidRPr="003627EE" w:rsidRDefault="00E073E5" w:rsidP="00647B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« </w:t>
      </w:r>
      <w:r w:rsidR="00647B4D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Audience du 5 juin 2024</w:t>
      </w:r>
    </w:p>
    <w:p w14:paraId="50111E89" w14:textId="77777777" w:rsidR="00647B4D" w:rsidRPr="003627EE" w:rsidRDefault="00647B4D" w:rsidP="00647B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Décision du 29 juin 2024</w:t>
      </w:r>
    </w:p>
    <w:p w14:paraId="3BCD52A0" w14:textId="77777777" w:rsidR="00647B4D" w:rsidRPr="003627EE" w:rsidRDefault="00647B4D" w:rsidP="00647B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iCs/>
          <w:kern w:val="0"/>
          <w:sz w:val="24"/>
          <w:szCs w:val="24"/>
        </w:rPr>
      </w:pPr>
      <w:r w:rsidRPr="003627EE">
        <w:rPr>
          <w:rFonts w:ascii="ArialMT" w:hAnsi="ArialMT" w:cs="ArialMT"/>
          <w:i/>
          <w:iCs/>
          <w:kern w:val="0"/>
          <w:sz w:val="24"/>
          <w:szCs w:val="24"/>
        </w:rPr>
        <w:t>___________</w:t>
      </w:r>
    </w:p>
    <w:p w14:paraId="23B2C04A" w14:textId="0D681F22" w:rsidR="00647B4D" w:rsidRPr="003627EE" w:rsidRDefault="00647B4D" w:rsidP="00647B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iCs/>
          <w:kern w:val="0"/>
          <w:sz w:val="24"/>
          <w:szCs w:val="24"/>
        </w:rPr>
      </w:pPr>
      <w:r w:rsidRPr="003627EE">
        <w:rPr>
          <w:rFonts w:ascii="TimesNewRomanPS-BoldMT" w:hAnsi="TimesNewRomanPS-BoldMT" w:cs="TimesNewRomanPS-BoldMT"/>
          <w:b/>
          <w:bCs/>
          <w:i/>
          <w:iCs/>
          <w:kern w:val="0"/>
          <w:sz w:val="24"/>
          <w:szCs w:val="24"/>
        </w:rPr>
        <w:t>RÉPUBLIQUE FRANÇAISE</w:t>
      </w:r>
    </w:p>
    <w:p w14:paraId="1B878F75" w14:textId="77777777" w:rsidR="00647B4D" w:rsidRPr="003627EE" w:rsidRDefault="00647B4D" w:rsidP="00647B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iCs/>
          <w:kern w:val="0"/>
          <w:sz w:val="24"/>
          <w:szCs w:val="24"/>
        </w:rPr>
      </w:pPr>
      <w:r w:rsidRPr="003627EE">
        <w:rPr>
          <w:rFonts w:ascii="TimesNewRomanPS-BoldMT" w:hAnsi="TimesNewRomanPS-BoldMT" w:cs="TimesNewRomanPS-BoldMT"/>
          <w:b/>
          <w:bCs/>
          <w:i/>
          <w:iCs/>
          <w:kern w:val="0"/>
          <w:sz w:val="24"/>
          <w:szCs w:val="24"/>
        </w:rPr>
        <w:t>AU NOM DU PEUPLE FRANÇAIS</w:t>
      </w:r>
    </w:p>
    <w:p w14:paraId="3A97344D" w14:textId="77777777" w:rsidR="00647B4D" w:rsidRPr="003627EE" w:rsidRDefault="00647B4D" w:rsidP="00647B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Le tribunal administratif de Nantes</w:t>
      </w:r>
    </w:p>
    <w:p w14:paraId="55BE3BAC" w14:textId="77777777" w:rsidR="00647B4D" w:rsidRPr="003627EE" w:rsidRDefault="00647B4D" w:rsidP="00647B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(5</w:t>
      </w:r>
      <w:r w:rsidRPr="003627EE">
        <w:rPr>
          <w:rFonts w:ascii="TimesNewRomanPSMT" w:hAnsi="TimesNewRomanPSMT" w:cs="TimesNewRomanPSMT"/>
          <w:i/>
          <w:iCs/>
          <w:kern w:val="0"/>
          <w:sz w:val="16"/>
          <w:szCs w:val="16"/>
        </w:rPr>
        <w:t xml:space="preserve">ème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chambre)</w:t>
      </w:r>
    </w:p>
    <w:p w14:paraId="7E041D2F" w14:textId="77777777" w:rsidR="00647B4D" w:rsidRPr="003627EE" w:rsidRDefault="00647B4D" w:rsidP="00647B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Vu la procédure suivante :</w:t>
      </w:r>
    </w:p>
    <w:p w14:paraId="5FCC35AD" w14:textId="2335579B" w:rsidR="00647B4D" w:rsidRPr="003627EE" w:rsidRDefault="00647B4D" w:rsidP="00647B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Par une requête et un mémoire complémentaire enregistrés les 31 mai 2021 et</w:t>
      </w:r>
      <w:r w:rsidR="00D43C0C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22 décembre 2023, l’association Comité de Liaison du Camping-car (CLC), représentée par</w:t>
      </w:r>
      <w:r w:rsidR="00D43C0C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Me Riquier, demande au tribunal :</w:t>
      </w:r>
    </w:p>
    <w:p w14:paraId="48B8823D" w14:textId="77777777" w:rsidR="00D43C0C" w:rsidRPr="003627EE" w:rsidRDefault="00D43C0C" w:rsidP="00647B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</w:p>
    <w:p w14:paraId="72DB1D43" w14:textId="01A9171E" w:rsidR="00647B4D" w:rsidRPr="003627EE" w:rsidRDefault="00647B4D" w:rsidP="00647B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1°) d’annuler la décision implicite par laquelle le maire de la commune de La-Faute-sur-Mer a refusé de déposer les panneaux de signalisation routière et portiques non conformes à la</w:t>
      </w:r>
      <w:r w:rsidR="00D43C0C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réglementation visant à interdire le stationnement des campings cars à certains endroits du</w:t>
      </w:r>
      <w:r w:rsidR="00D43C0C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territoire de la commune ;</w:t>
      </w:r>
    </w:p>
    <w:p w14:paraId="0750AA40" w14:textId="77777777" w:rsidR="00D43C0C" w:rsidRPr="003627EE" w:rsidRDefault="00D43C0C" w:rsidP="00647B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</w:p>
    <w:p w14:paraId="0CAF017B" w14:textId="29D3A7BD" w:rsidR="00647B4D" w:rsidRPr="003627EE" w:rsidRDefault="00647B4D" w:rsidP="00647B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2°)</w:t>
      </w:r>
      <w:r w:rsidRPr="003627EE">
        <w:rPr>
          <w:rFonts w:ascii="TimesNewRomanPSMT" w:hAnsi="TimesNewRomanPSMT" w:cs="TimesNewRomanPSMT"/>
          <w:i/>
          <w:iCs/>
          <w:color w:val="FF0000"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d’enjoindre au maire d’Aiguillon-la-Presqu’ile de procéder à la dépose demandée</w:t>
      </w:r>
      <w:r w:rsidR="00D43C0C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dans un délai d’un mois à compter de la notification de la décision à intervenir, sous astreinte de</w:t>
      </w:r>
      <w:r w:rsidR="007604A7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150 euros par jours de retard ;</w:t>
      </w:r>
    </w:p>
    <w:p w14:paraId="18A5344D" w14:textId="77777777" w:rsidR="00D43C0C" w:rsidRPr="003627EE" w:rsidRDefault="00D43C0C" w:rsidP="00647B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</w:p>
    <w:p w14:paraId="2DFE6C83" w14:textId="14D9D40C" w:rsidR="00647B4D" w:rsidRPr="003627EE" w:rsidRDefault="00647B4D" w:rsidP="00647B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3°)</w:t>
      </w:r>
      <w:r w:rsidRPr="003627EE">
        <w:rPr>
          <w:rFonts w:ascii="TimesNewRomanPSMT" w:hAnsi="TimesNewRomanPSMT" w:cs="TimesNewRomanPSMT"/>
          <w:i/>
          <w:iCs/>
          <w:color w:val="FF0000"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de mettre à la charge de la commune d’Aiguillon-la-Presqu’ile le versement à son</w:t>
      </w:r>
      <w:r w:rsidR="00D43C0C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profit d’une somme de 2 000 euros en application de l’article L. 761-1 du code de justice</w:t>
      </w:r>
      <w:r w:rsidR="00D43C0C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administrative.</w:t>
      </w:r>
    </w:p>
    <w:p w14:paraId="75ADD0B2" w14:textId="77777777" w:rsidR="00D43C0C" w:rsidRPr="003627EE" w:rsidRDefault="00D43C0C" w:rsidP="00647B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</w:p>
    <w:p w14:paraId="1495A599" w14:textId="77777777" w:rsidR="00647B4D" w:rsidRPr="003627EE" w:rsidRDefault="00647B4D" w:rsidP="00647B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Elle soutient que :</w:t>
      </w:r>
    </w:p>
    <w:p w14:paraId="60DBF99F" w14:textId="72043BB3" w:rsidR="00D43C0C" w:rsidRPr="003627EE" w:rsidRDefault="00647B4D" w:rsidP="00647B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- les panneaux et panonceaux méconnaissent les articles 72-2, 55, 55-1 et 55-3 de</w:t>
      </w:r>
      <w:r w:rsidR="00D43C0C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l’instruction interministérielle sur la signalisation routière actuellement en vigueur ;</w:t>
      </w:r>
    </w:p>
    <w:p w14:paraId="7B1F307D" w14:textId="77777777" w:rsidR="00647B4D" w:rsidRPr="003627EE" w:rsidRDefault="00647B4D" w:rsidP="00647B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- ils ne respectent pas les standards fixés par l’arrêté du 30 juin 2011 relatif aux</w:t>
      </w:r>
    </w:p>
    <w:p w14:paraId="769417AE" w14:textId="77777777" w:rsidR="00647B4D" w:rsidRPr="003627EE" w:rsidRDefault="00647B4D" w:rsidP="00647B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  <w:proofErr w:type="gramStart"/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lastRenderedPageBreak/>
        <w:t>performances</w:t>
      </w:r>
      <w:proofErr w:type="gramEnd"/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et aux règles de mise en service des panneaux de signalisation routière permanente ;</w:t>
      </w:r>
    </w:p>
    <w:p w14:paraId="5A598D2C" w14:textId="09A9FB3D" w:rsidR="00647B4D" w:rsidRPr="003627EE" w:rsidRDefault="00647B4D" w:rsidP="00647B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- ils sont illégaux en raison de l’illégalité de la décision du 10 juillet 2014 prévoyant leur</w:t>
      </w:r>
      <w:r w:rsidR="00D43C0C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implantation qui porte une atteinte disproportionnée au principe de liberté de stationnement ;</w:t>
      </w:r>
    </w:p>
    <w:p w14:paraId="2A31747C" w14:textId="0AA0C2EF" w:rsidR="007604A7" w:rsidRPr="003627EE" w:rsidRDefault="00647B4D" w:rsidP="00647B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- les portiques ne pouvaient être érigés et méconnaissent ainsi les articles 6 et 9 de l'arrêté</w:t>
      </w:r>
      <w:r w:rsidR="00D43C0C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du 24 novembre 1967</w:t>
      </w:r>
    </w:p>
    <w:p w14:paraId="3F5EDE9B" w14:textId="7321D465" w:rsidR="00647B4D" w:rsidRPr="003627EE" w:rsidRDefault="00647B4D" w:rsidP="00D43C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- l’atteinte portée à la liberté de circulation sur le territoire de la commune par les mesures</w:t>
      </w:r>
      <w:r w:rsidR="00D43C0C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de règlementation du stationnement des camping-cars est disproportionnée.</w:t>
      </w:r>
    </w:p>
    <w:p w14:paraId="1AE8F138" w14:textId="597995B3" w:rsidR="007604A7" w:rsidRPr="003627EE" w:rsidRDefault="007604A7" w:rsidP="00647B4D">
      <w:pPr>
        <w:rPr>
          <w:i/>
          <w:iCs/>
        </w:rPr>
      </w:pP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…</w:t>
      </w:r>
    </w:p>
    <w:p w14:paraId="11F5B3D7" w14:textId="75AC2334" w:rsidR="007604A7" w:rsidRPr="003627EE" w:rsidRDefault="007604A7" w:rsidP="007604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Il suit de là que le CLC est fondé à soutenir que les portiques</w:t>
      </w:r>
      <w:r w:rsidR="00F84704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en cause ne respectent pas la réglementation relative à la signalisation routière et que c’est à tort</w:t>
      </w:r>
      <w:r w:rsidR="006E11B6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que la commune de La Faute-sur-Mer a refusé de les déposer.</w:t>
      </w:r>
    </w:p>
    <w:p w14:paraId="2A05EDB4" w14:textId="77777777" w:rsidR="00D43C0C" w:rsidRPr="003627EE" w:rsidRDefault="00D43C0C" w:rsidP="007604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</w:p>
    <w:p w14:paraId="44F0A3CF" w14:textId="132EE8BB" w:rsidR="007604A7" w:rsidRPr="003627EE" w:rsidRDefault="007604A7" w:rsidP="007604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9. Il résulte de ce qui précède, sans qu’il soit besoin d’examiner les autres moyens de la</w:t>
      </w:r>
      <w:r w:rsidR="00D43C0C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requête, que l’association requérante est fondée à solliciter l’annulation de la décision attaquée en</w:t>
      </w:r>
      <w:r w:rsidR="006E11B6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tant qu’elle refuse de procéder à la dépose des portiques implantés aux entrées des parkings situés</w:t>
      </w:r>
      <w:r w:rsidR="006E11B6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rue de la Pointe d’Arçay, rue du port des Yachts, route de la pointe d’Arçay et parc de la Presqu’ile.</w:t>
      </w:r>
    </w:p>
    <w:p w14:paraId="4D742B13" w14:textId="77777777" w:rsidR="00D43C0C" w:rsidRPr="003627EE" w:rsidRDefault="00D43C0C" w:rsidP="007604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</w:p>
    <w:p w14:paraId="5EC925B2" w14:textId="77777777" w:rsidR="007604A7" w:rsidRPr="003627EE" w:rsidRDefault="007604A7" w:rsidP="007604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Sur les conclusions à fin d’injonction :</w:t>
      </w:r>
    </w:p>
    <w:p w14:paraId="4F4FB468" w14:textId="6E68AA3E" w:rsidR="007604A7" w:rsidRPr="003627EE" w:rsidRDefault="007604A7" w:rsidP="006E11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10. Les dispositifs de signalisation dont il s’agit, qui sont ancrés dans le sol et constituent</w:t>
      </w:r>
      <w:r w:rsidR="00D43C0C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des dépendances de la voierie publique, sont des ouvrages publics. Lorsque le juge administratif</w:t>
      </w:r>
      <w:r w:rsidR="006E11B6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est saisi d’une demande d’exécution d’une décision juridictionnelle dont il résulte qu’un ouvrage</w:t>
      </w:r>
      <w:r w:rsidR="006E11B6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public a été implanté de façon irrégulière, il lui appartient, pour déterminer, en fonction de la</w:t>
      </w:r>
      <w:r w:rsidR="006E11B6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situation de droit et de fait existant à la date à laquelle il statue, si l’exécution de cette décision</w:t>
      </w:r>
      <w:r w:rsidR="006E11B6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implique qu’il ordonne la démolition de cet ouvrage, de rechercher, d’abord, si, eu égard</w:t>
      </w:r>
      <w:r w:rsidR="006E11B6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notamment aux motifs de la décision, une régularisation appropriée est possible. Dans la négative,</w:t>
      </w:r>
      <w:r w:rsidR="006E11B6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il lui revient ensuite de prendre en considération, d’une part, les inconvénients que la présence de</w:t>
      </w:r>
      <w:r w:rsidR="006E11B6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l’ouvrage entraîne pour les divers intérêts publics ou privés en présence et notamment, le cas</w:t>
      </w:r>
      <w:r w:rsidR="006E11B6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échéant, pour le propriétaire du terrain d’assiette de l’ouvrage, d’autre part, les conséquences de</w:t>
      </w:r>
      <w:r w:rsidR="006E11B6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la démolition pour l’intérêt général, et d’apprécier, en rapprochant ces éléments, si la démolition</w:t>
      </w:r>
      <w:r w:rsidR="006E11B6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n’entraîne pas une atteinte excessive à l’intérêt général.</w:t>
      </w:r>
    </w:p>
    <w:p w14:paraId="0BE49938" w14:textId="77777777" w:rsidR="00D43C0C" w:rsidRPr="003627EE" w:rsidRDefault="00D43C0C" w:rsidP="006E11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</w:p>
    <w:p w14:paraId="15FF9BB2" w14:textId="55FE6278" w:rsidR="007604A7" w:rsidRPr="003627EE" w:rsidRDefault="007604A7" w:rsidP="007604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11. S’agissant des portiques mentionnés au point 9, aucune régularisation n’est possible.</w:t>
      </w:r>
      <w:r w:rsidR="00D43C0C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Cette signalisation, qui n’est pas, comme il a été dit, conforme aux dispositions des articles 6 et 9</w:t>
      </w:r>
      <w:r w:rsidR="006E11B6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de l’arrêté du 24 novembre 1967, n’est pas de nature à permettre d’atteindre l’objectif qu’elle</w:t>
      </w:r>
      <w:r w:rsidR="006E11B6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poursuit, à savoir rendre opposable aux usagers la réglementation de police adoptée en matière de stationnement des camping-cars. En conséquence, dès lors qu’il ne résulte pas de l’instruction que la dépose des portiques en cause serait susceptible d’entraîner une atteinte excessive à l’intérêt général, il y a lieu d’enjoindre à la commune de L’Aiguillon-la-Presqu’île de procéder à la dépose de ces portiques, dans un délai de quatre mois à compter de la notification du présent jugement. Il n’y a pas lieu, dans les circonstances de l’espèce, d’assortir cette injonction d’une astreinte.</w:t>
      </w:r>
    </w:p>
    <w:p w14:paraId="7A85212C" w14:textId="77777777" w:rsidR="00D43C0C" w:rsidRPr="003627EE" w:rsidRDefault="00D43C0C" w:rsidP="007604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</w:p>
    <w:p w14:paraId="0A04A601" w14:textId="77777777" w:rsidR="007604A7" w:rsidRPr="003627EE" w:rsidRDefault="007604A7" w:rsidP="007604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Sur les conclusions tendant à l’application des dispositions de l’article L. 761-1 du code</w:t>
      </w:r>
    </w:p>
    <w:p w14:paraId="6F612507" w14:textId="77777777" w:rsidR="007604A7" w:rsidRPr="003627EE" w:rsidRDefault="007604A7" w:rsidP="007604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  <w:proofErr w:type="gramStart"/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de</w:t>
      </w:r>
      <w:proofErr w:type="gramEnd"/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justice administrative :</w:t>
      </w:r>
    </w:p>
    <w:p w14:paraId="60EA4898" w14:textId="7415397C" w:rsidR="007604A7" w:rsidRPr="003627EE" w:rsidRDefault="007604A7" w:rsidP="007604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12. Les dispositions de l’article L. 761-1 du code de justice administrative font obstacle</w:t>
      </w:r>
      <w:r w:rsidR="00D43C0C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à ce que soit mise à la charge du CLC, qui n’est pas la partie perdante pour l’essentiel dans la</w:t>
      </w:r>
      <w:r w:rsidR="00D43C0C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lastRenderedPageBreak/>
        <w:t>présente instance, la somme demandée par la commune de L’Aiguillon-la-Presqu’île au titre des frais exposés par elle et non compris dans les dépens.</w:t>
      </w:r>
    </w:p>
    <w:p w14:paraId="7B107AB8" w14:textId="77777777" w:rsidR="00D43C0C" w:rsidRPr="003627EE" w:rsidRDefault="00D43C0C" w:rsidP="007604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</w:p>
    <w:p w14:paraId="45EAF45C" w14:textId="446E2C26" w:rsidR="007604A7" w:rsidRPr="003627EE" w:rsidRDefault="007604A7" w:rsidP="007604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13. En revanche, il y a lieu, en application de ces mêmes dispositions, dans les</w:t>
      </w:r>
      <w:r w:rsidR="00D43C0C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circonstances de l’espèce, de mettre à la charge de la commune de L’Aiguillon-la-Presqu’île le versement au CLC d’une somme de 1 500 euros au titre des frais exposés par lui et non compris dans les dépens.</w:t>
      </w:r>
    </w:p>
    <w:p w14:paraId="21DE9904" w14:textId="77777777" w:rsidR="00CE16FC" w:rsidRPr="003627EE" w:rsidRDefault="00CE16FC" w:rsidP="007604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</w:p>
    <w:p w14:paraId="5CAFECDF" w14:textId="77777777" w:rsidR="007604A7" w:rsidRPr="003627EE" w:rsidRDefault="007604A7" w:rsidP="007604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i/>
          <w:iCs/>
          <w:kern w:val="0"/>
          <w:sz w:val="24"/>
          <w:szCs w:val="24"/>
          <w:u w:val="single"/>
        </w:rPr>
      </w:pPr>
      <w:r w:rsidRPr="003627EE">
        <w:rPr>
          <w:rFonts w:ascii="TimesNewRomanPSMT" w:hAnsi="TimesNewRomanPSMT" w:cs="TimesNewRomanPSMT"/>
          <w:b/>
          <w:bCs/>
          <w:i/>
          <w:iCs/>
          <w:kern w:val="0"/>
          <w:sz w:val="24"/>
          <w:szCs w:val="24"/>
          <w:u w:val="single"/>
        </w:rPr>
        <w:t>D É C I D E :</w:t>
      </w:r>
    </w:p>
    <w:p w14:paraId="030FFF33" w14:textId="77777777" w:rsidR="00CE16FC" w:rsidRPr="003627EE" w:rsidRDefault="00CE16FC" w:rsidP="007604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</w:p>
    <w:p w14:paraId="7ED70CE0" w14:textId="7C32E080" w:rsidR="007604A7" w:rsidRPr="003627EE" w:rsidRDefault="007604A7" w:rsidP="007604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  <w:r w:rsidRPr="003627EE">
        <w:rPr>
          <w:rFonts w:ascii="TimesNewRomanPSMT" w:hAnsi="TimesNewRomanPSMT" w:cs="TimesNewRomanPSMT"/>
          <w:b/>
          <w:bCs/>
          <w:i/>
          <w:iCs/>
          <w:kern w:val="0"/>
          <w:sz w:val="24"/>
          <w:szCs w:val="24"/>
          <w:u w:val="single"/>
        </w:rPr>
        <w:t>Article 1</w:t>
      </w:r>
      <w:r w:rsidR="00CE16FC" w:rsidRPr="003627EE">
        <w:rPr>
          <w:rFonts w:ascii="TimesNewRomanPSMT" w:hAnsi="TimesNewRomanPSMT" w:cs="TimesNewRomanPSMT"/>
          <w:b/>
          <w:bCs/>
          <w:i/>
          <w:iCs/>
          <w:kern w:val="0"/>
          <w:sz w:val="24"/>
          <w:szCs w:val="24"/>
          <w:u w:val="single"/>
          <w:vertAlign w:val="superscript"/>
        </w:rPr>
        <w:t>er</w:t>
      </w:r>
      <w:r w:rsidRPr="003627EE">
        <w:rPr>
          <w:rFonts w:ascii="TimesNewRomanPSMT" w:hAnsi="TimesNewRomanPSMT" w:cs="TimesNewRomanPSMT"/>
          <w:i/>
          <w:iCs/>
          <w:kern w:val="0"/>
          <w:sz w:val="10"/>
          <w:szCs w:val="10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: Il n’y a pas lieu de statuer sur les conclusions aux fins d’annulation et</w:t>
      </w:r>
      <w:r w:rsidR="00CE16FC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d’injonction présentées par l’association Comité de Liaison du Camping-car relatives à la dépose de panneaux et panonceaux.</w:t>
      </w:r>
    </w:p>
    <w:p w14:paraId="49FC1521" w14:textId="77777777" w:rsidR="00CE16FC" w:rsidRPr="003627EE" w:rsidRDefault="00CE16FC" w:rsidP="007604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</w:p>
    <w:p w14:paraId="304B7AEA" w14:textId="78F360FE" w:rsidR="007604A7" w:rsidRPr="003627EE" w:rsidRDefault="007604A7" w:rsidP="007604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  <w:r w:rsidRPr="003627EE">
        <w:rPr>
          <w:rFonts w:ascii="TimesNewRomanPSMT" w:hAnsi="TimesNewRomanPSMT" w:cs="TimesNewRomanPSMT"/>
          <w:b/>
          <w:bCs/>
          <w:i/>
          <w:iCs/>
          <w:kern w:val="0"/>
          <w:sz w:val="24"/>
          <w:szCs w:val="24"/>
          <w:u w:val="single"/>
        </w:rPr>
        <w:t>Article 2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: </w:t>
      </w:r>
      <w:r w:rsidRPr="003627EE">
        <w:rPr>
          <w:rFonts w:ascii="TimesNewRomanPSMT" w:hAnsi="TimesNewRomanPSMT" w:cs="TimesNewRomanPSMT"/>
          <w:b/>
          <w:bCs/>
          <w:i/>
          <w:iCs/>
          <w:color w:val="FF0000"/>
          <w:kern w:val="0"/>
          <w:sz w:val="24"/>
          <w:szCs w:val="24"/>
          <w:u w:val="single"/>
        </w:rPr>
        <w:t>Le refus implicite du maire de La Faute-sur-Mer de procéder à la dépose des</w:t>
      </w:r>
      <w:r w:rsidR="00CE16FC" w:rsidRPr="003627EE">
        <w:rPr>
          <w:rFonts w:ascii="TimesNewRomanPSMT" w:hAnsi="TimesNewRomanPSMT" w:cs="TimesNewRomanPSMT"/>
          <w:b/>
          <w:bCs/>
          <w:i/>
          <w:iCs/>
          <w:color w:val="FF0000"/>
          <w:kern w:val="0"/>
          <w:sz w:val="24"/>
          <w:szCs w:val="24"/>
          <w:u w:val="single"/>
        </w:rPr>
        <w:t xml:space="preserve"> </w:t>
      </w:r>
      <w:r w:rsidRPr="003627EE">
        <w:rPr>
          <w:rFonts w:ascii="TimesNewRomanPSMT" w:hAnsi="TimesNewRomanPSMT" w:cs="TimesNewRomanPSMT"/>
          <w:b/>
          <w:bCs/>
          <w:i/>
          <w:iCs/>
          <w:color w:val="FF0000"/>
          <w:kern w:val="0"/>
          <w:sz w:val="24"/>
          <w:szCs w:val="24"/>
          <w:u w:val="single"/>
        </w:rPr>
        <w:t>portiques mentionnés au point 9 du présent jugement est annulé</w:t>
      </w:r>
    </w:p>
    <w:p w14:paraId="719A798A" w14:textId="77777777" w:rsidR="00CE16FC" w:rsidRPr="003627EE" w:rsidRDefault="00CE16FC" w:rsidP="007604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</w:p>
    <w:p w14:paraId="0C7E5894" w14:textId="0E69AC2C" w:rsidR="007604A7" w:rsidRPr="003627EE" w:rsidRDefault="007604A7" w:rsidP="007604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FF0000"/>
          <w:kern w:val="0"/>
          <w:sz w:val="24"/>
          <w:szCs w:val="24"/>
          <w:u w:val="single"/>
        </w:rPr>
      </w:pPr>
      <w:r w:rsidRPr="003627EE">
        <w:rPr>
          <w:rFonts w:ascii="TimesNewRomanPSMT" w:hAnsi="TimesNewRomanPSMT" w:cs="TimesNewRomanPSMT"/>
          <w:b/>
          <w:bCs/>
          <w:i/>
          <w:iCs/>
          <w:kern w:val="0"/>
          <w:sz w:val="24"/>
          <w:szCs w:val="24"/>
          <w:u w:val="single"/>
        </w:rPr>
        <w:t>Article 3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: Il est enjoint à la commune de L’Aiguillon-la-Presqu’île de procéder, dans un</w:t>
      </w:r>
      <w:r w:rsidR="00CE16FC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délai de quatre mois à compter de la notification du présent jugement</w:t>
      </w:r>
      <w:r w:rsidRPr="003627EE">
        <w:rPr>
          <w:rFonts w:ascii="TimesNewRomanPSMT" w:hAnsi="TimesNewRomanPSMT" w:cs="TimesNewRomanPSMT"/>
          <w:b/>
          <w:bCs/>
          <w:i/>
          <w:iCs/>
          <w:color w:val="FF0000"/>
          <w:kern w:val="0"/>
          <w:sz w:val="24"/>
          <w:szCs w:val="24"/>
          <w:u w:val="single"/>
        </w:rPr>
        <w:t>, à la dépose des portiques mentionnés au point 9 du présent jugement.</w:t>
      </w:r>
    </w:p>
    <w:p w14:paraId="6FD622F2" w14:textId="77777777" w:rsidR="00CE16FC" w:rsidRPr="003627EE" w:rsidRDefault="00CE16FC" w:rsidP="007604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</w:p>
    <w:p w14:paraId="6F3C9236" w14:textId="76CC7052" w:rsidR="007604A7" w:rsidRPr="003627EE" w:rsidRDefault="007604A7" w:rsidP="007604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  <w:r w:rsidRPr="003627EE">
        <w:rPr>
          <w:rFonts w:ascii="TimesNewRomanPSMT" w:hAnsi="TimesNewRomanPSMT" w:cs="TimesNewRomanPSMT"/>
          <w:b/>
          <w:bCs/>
          <w:i/>
          <w:iCs/>
          <w:kern w:val="0"/>
          <w:sz w:val="24"/>
          <w:szCs w:val="24"/>
          <w:u w:val="single"/>
        </w:rPr>
        <w:t>Article 4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: La commune de L’Aiguillon-la-Presqu’île </w:t>
      </w:r>
      <w:r w:rsidRPr="003627EE">
        <w:rPr>
          <w:rFonts w:ascii="TimesNewRomanPSMT" w:hAnsi="TimesNewRomanPSMT" w:cs="TimesNewRomanPSMT"/>
          <w:b/>
          <w:bCs/>
          <w:i/>
          <w:iCs/>
          <w:color w:val="FF0000"/>
          <w:kern w:val="0"/>
          <w:sz w:val="24"/>
          <w:szCs w:val="24"/>
          <w:u w:val="single"/>
        </w:rPr>
        <w:t>versera à l’association comité de</w:t>
      </w:r>
      <w:r w:rsidR="00CE16FC" w:rsidRPr="003627EE">
        <w:rPr>
          <w:rFonts w:ascii="TimesNewRomanPSMT" w:hAnsi="TimesNewRomanPSMT" w:cs="TimesNewRomanPSMT"/>
          <w:b/>
          <w:bCs/>
          <w:i/>
          <w:iCs/>
          <w:color w:val="FF0000"/>
          <w:kern w:val="0"/>
          <w:sz w:val="24"/>
          <w:szCs w:val="24"/>
          <w:u w:val="single"/>
        </w:rPr>
        <w:t xml:space="preserve"> </w:t>
      </w:r>
      <w:r w:rsidRPr="003627EE">
        <w:rPr>
          <w:rFonts w:ascii="TimesNewRomanPSMT" w:hAnsi="TimesNewRomanPSMT" w:cs="TimesNewRomanPSMT"/>
          <w:b/>
          <w:bCs/>
          <w:i/>
          <w:iCs/>
          <w:color w:val="FF0000"/>
          <w:kern w:val="0"/>
          <w:sz w:val="24"/>
          <w:szCs w:val="24"/>
          <w:u w:val="single"/>
        </w:rPr>
        <w:t>Liaison du Camping-car la somme de 1 500 (mille cinq cents) euros</w:t>
      </w:r>
      <w:r w:rsidRPr="003627EE">
        <w:rPr>
          <w:rFonts w:ascii="TimesNewRomanPSMT" w:hAnsi="TimesNewRomanPSMT" w:cs="TimesNewRomanPSMT"/>
          <w:i/>
          <w:iCs/>
          <w:color w:val="FF0000"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au titre de l’article L. 761-1 du code de justice administrative.</w:t>
      </w:r>
    </w:p>
    <w:p w14:paraId="7935B966" w14:textId="77777777" w:rsidR="00CE16FC" w:rsidRPr="003627EE" w:rsidRDefault="00CE16FC" w:rsidP="007604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</w:p>
    <w:p w14:paraId="07601C01" w14:textId="032199DD" w:rsidR="007604A7" w:rsidRPr="003627EE" w:rsidRDefault="007604A7" w:rsidP="007604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  <w:r w:rsidRPr="003627EE">
        <w:rPr>
          <w:rFonts w:ascii="TimesNewRomanPSMT" w:hAnsi="TimesNewRomanPSMT" w:cs="TimesNewRomanPSMT"/>
          <w:b/>
          <w:bCs/>
          <w:i/>
          <w:iCs/>
          <w:kern w:val="0"/>
          <w:sz w:val="24"/>
          <w:szCs w:val="24"/>
          <w:u w:val="single"/>
        </w:rPr>
        <w:t>Article 5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: Le surplus des conclusions de la requête présentée par l’association Comité de</w:t>
      </w:r>
      <w:r w:rsidR="00CE16FC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 xml:space="preserve"> </w:t>
      </w: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Liaison du Camping-car et les conclusions présentées par la commune de L’Aiguillon-la-</w:t>
      </w:r>
    </w:p>
    <w:p w14:paraId="1B39A548" w14:textId="7E54EF89" w:rsidR="007604A7" w:rsidRPr="003627EE" w:rsidRDefault="007604A7" w:rsidP="007604A7">
      <w:pPr>
        <w:rPr>
          <w:rFonts w:ascii="TimesNewRomanPSMT" w:hAnsi="TimesNewRomanPSMT" w:cs="TimesNewRomanPSMT"/>
          <w:i/>
          <w:iCs/>
          <w:kern w:val="0"/>
          <w:sz w:val="24"/>
          <w:szCs w:val="24"/>
        </w:rPr>
      </w:pPr>
      <w:r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Presqu’île au titre de l’article L. 761-1 du code de justice administrative sont rejetés.</w:t>
      </w:r>
      <w:r w:rsidR="00E073E5" w:rsidRPr="003627EE">
        <w:rPr>
          <w:rFonts w:ascii="TimesNewRomanPSMT" w:hAnsi="TimesNewRomanPSMT" w:cs="TimesNewRomanPSMT"/>
          <w:i/>
          <w:iCs/>
          <w:kern w:val="0"/>
          <w:sz w:val="24"/>
          <w:szCs w:val="24"/>
        </w:rPr>
        <w:t> »</w:t>
      </w:r>
    </w:p>
    <w:p w14:paraId="30ACC9B7" w14:textId="77777777" w:rsidR="00CE16FC" w:rsidRDefault="00CE16FC" w:rsidP="007604A7">
      <w:pPr>
        <w:rPr>
          <w:rFonts w:cstheme="minorHAnsi"/>
          <w:kern w:val="0"/>
          <w:u w:val="single"/>
        </w:rPr>
      </w:pPr>
    </w:p>
    <w:p w14:paraId="183862D4" w14:textId="77777777" w:rsidR="00AE30A0" w:rsidRDefault="00AE30A0" w:rsidP="007604A7">
      <w:pPr>
        <w:rPr>
          <w:rFonts w:cstheme="minorHAnsi"/>
          <w:kern w:val="0"/>
          <w:u w:val="single"/>
        </w:rPr>
      </w:pPr>
    </w:p>
    <w:p w14:paraId="59E3B8D8" w14:textId="77777777" w:rsidR="00AE30A0" w:rsidRDefault="00AE30A0" w:rsidP="007604A7">
      <w:pPr>
        <w:rPr>
          <w:rFonts w:cstheme="minorHAnsi"/>
          <w:kern w:val="0"/>
          <w:u w:val="single"/>
        </w:rPr>
      </w:pPr>
    </w:p>
    <w:p w14:paraId="317562BD" w14:textId="77777777" w:rsidR="00CE16FC" w:rsidRDefault="006E11B6" w:rsidP="007604A7">
      <w:pPr>
        <w:rPr>
          <w:rFonts w:cstheme="minorHAnsi"/>
          <w:b/>
          <w:bCs/>
          <w:kern w:val="0"/>
        </w:rPr>
      </w:pPr>
      <w:r w:rsidRPr="00CE16FC">
        <w:rPr>
          <w:rFonts w:cstheme="minorHAnsi"/>
          <w:b/>
          <w:bCs/>
          <w:kern w:val="0"/>
          <w:u w:val="single"/>
        </w:rPr>
        <w:t>A noter</w:t>
      </w:r>
      <w:r w:rsidRPr="00CE16FC">
        <w:rPr>
          <w:rFonts w:cstheme="minorHAnsi"/>
          <w:b/>
          <w:bCs/>
          <w:kern w:val="0"/>
        </w:rPr>
        <w:t xml:space="preserve"> : Durant cette procédure, </w:t>
      </w:r>
      <w:r w:rsidR="00EA14BF" w:rsidRPr="00CE16FC">
        <w:rPr>
          <w:rFonts w:cstheme="minorHAnsi"/>
          <w:b/>
          <w:bCs/>
          <w:kern w:val="0"/>
        </w:rPr>
        <w:t>fin</w:t>
      </w:r>
      <w:r w:rsidRPr="00CE16FC">
        <w:rPr>
          <w:rFonts w:cstheme="minorHAnsi"/>
          <w:b/>
          <w:bCs/>
          <w:kern w:val="0"/>
        </w:rPr>
        <w:t xml:space="preserve"> 2021, si la ville a bien abrogé l’arrêté attaqué, elle a édicté </w:t>
      </w:r>
      <w:r w:rsidR="00E073E5" w:rsidRPr="00CE16FC">
        <w:rPr>
          <w:rFonts w:cstheme="minorHAnsi"/>
          <w:b/>
          <w:bCs/>
          <w:kern w:val="0"/>
        </w:rPr>
        <w:t xml:space="preserve">2 </w:t>
      </w:r>
      <w:r w:rsidRPr="00CE16FC">
        <w:rPr>
          <w:rFonts w:cstheme="minorHAnsi"/>
          <w:b/>
          <w:bCs/>
          <w:kern w:val="0"/>
        </w:rPr>
        <w:t>nouve</w:t>
      </w:r>
      <w:r w:rsidR="00E073E5" w:rsidRPr="00CE16FC">
        <w:rPr>
          <w:rFonts w:cstheme="minorHAnsi"/>
          <w:b/>
          <w:bCs/>
          <w:kern w:val="0"/>
        </w:rPr>
        <w:t>aux</w:t>
      </w:r>
      <w:r w:rsidRPr="00CE16FC">
        <w:rPr>
          <w:rFonts w:cstheme="minorHAnsi"/>
          <w:b/>
          <w:bCs/>
          <w:kern w:val="0"/>
        </w:rPr>
        <w:t xml:space="preserve"> arrêté</w:t>
      </w:r>
      <w:r w:rsidR="00E073E5" w:rsidRPr="00CE16FC">
        <w:rPr>
          <w:rFonts w:cstheme="minorHAnsi"/>
          <w:b/>
          <w:bCs/>
          <w:kern w:val="0"/>
        </w:rPr>
        <w:t>s</w:t>
      </w:r>
      <w:r w:rsidRPr="00CE16FC">
        <w:rPr>
          <w:rFonts w:cstheme="minorHAnsi"/>
          <w:b/>
          <w:bCs/>
          <w:kern w:val="0"/>
        </w:rPr>
        <w:t xml:space="preserve"> d’interdiction concernant</w:t>
      </w:r>
      <w:r w:rsidR="00E073E5" w:rsidRPr="00CE16FC">
        <w:rPr>
          <w:rFonts w:cstheme="minorHAnsi"/>
          <w:b/>
          <w:bCs/>
          <w:kern w:val="0"/>
        </w:rPr>
        <w:t xml:space="preserve"> pour l’un</w:t>
      </w:r>
      <w:r w:rsidRPr="00CE16FC">
        <w:rPr>
          <w:rFonts w:cstheme="minorHAnsi"/>
          <w:b/>
          <w:bCs/>
          <w:kern w:val="0"/>
        </w:rPr>
        <w:t xml:space="preserve"> les véhicules de plus de 5.30 </w:t>
      </w:r>
      <w:r w:rsidR="00F84704" w:rsidRPr="00CE16FC">
        <w:rPr>
          <w:rFonts w:cstheme="minorHAnsi"/>
          <w:b/>
          <w:bCs/>
          <w:kern w:val="0"/>
        </w:rPr>
        <w:t xml:space="preserve">m </w:t>
      </w:r>
      <w:r w:rsidRPr="00CE16FC">
        <w:rPr>
          <w:rFonts w:cstheme="minorHAnsi"/>
          <w:b/>
          <w:bCs/>
          <w:kern w:val="0"/>
        </w:rPr>
        <w:t xml:space="preserve">de long </w:t>
      </w:r>
      <w:r w:rsidR="00E073E5" w:rsidRPr="00CE16FC">
        <w:rPr>
          <w:rFonts w:cstheme="minorHAnsi"/>
          <w:b/>
          <w:bCs/>
          <w:kern w:val="0"/>
        </w:rPr>
        <w:t>et pour l’autre ceux stock</w:t>
      </w:r>
      <w:r w:rsidRPr="00CE16FC">
        <w:rPr>
          <w:rFonts w:cstheme="minorHAnsi"/>
          <w:b/>
          <w:bCs/>
          <w:kern w:val="0"/>
        </w:rPr>
        <w:t xml:space="preserve">ant des eaux usées et des bouteilles de gaz </w:t>
      </w:r>
      <w:r w:rsidR="00187B1B" w:rsidRPr="00CE16FC">
        <w:rPr>
          <w:rFonts w:cstheme="minorHAnsi"/>
          <w:b/>
          <w:bCs/>
          <w:kern w:val="0"/>
        </w:rPr>
        <w:t xml:space="preserve">(selon une appellation figurant sur les conventions Camping-car Park) </w:t>
      </w:r>
      <w:r w:rsidR="00E073E5" w:rsidRPr="00CE16FC">
        <w:rPr>
          <w:rFonts w:cstheme="minorHAnsi"/>
          <w:b/>
          <w:bCs/>
          <w:kern w:val="0"/>
        </w:rPr>
        <w:t xml:space="preserve">aux endroits visés par l’ancienne interdiction. </w:t>
      </w:r>
    </w:p>
    <w:p w14:paraId="315D76F8" w14:textId="77777777" w:rsidR="00CE16FC" w:rsidRDefault="00E073E5" w:rsidP="007604A7">
      <w:pPr>
        <w:rPr>
          <w:rFonts w:cstheme="minorHAnsi"/>
          <w:b/>
          <w:bCs/>
          <w:kern w:val="0"/>
        </w:rPr>
      </w:pPr>
      <w:r w:rsidRPr="00CE16FC">
        <w:rPr>
          <w:rFonts w:cstheme="minorHAnsi"/>
          <w:b/>
          <w:bCs/>
          <w:kern w:val="0"/>
        </w:rPr>
        <w:t xml:space="preserve">De nouveaux panneaux relatifs à ces nouvelles interdictions sont implantés. </w:t>
      </w:r>
    </w:p>
    <w:p w14:paraId="250F7F81" w14:textId="0D463490" w:rsidR="007604A7" w:rsidRPr="00355A88" w:rsidRDefault="0018662F" w:rsidP="007604A7">
      <w:pPr>
        <w:rPr>
          <w:rFonts w:cstheme="minorHAnsi"/>
          <w:b/>
          <w:bCs/>
          <w:i/>
          <w:iCs/>
          <w:color w:val="FF0000"/>
          <w:kern w:val="0"/>
          <w:u w:val="single"/>
        </w:rPr>
      </w:pPr>
      <w:r w:rsidRPr="00355A88">
        <w:rPr>
          <w:rFonts w:cstheme="minorHAnsi"/>
          <w:b/>
          <w:bCs/>
          <w:i/>
          <w:iCs/>
          <w:color w:val="FF0000"/>
          <w:kern w:val="0"/>
          <w:u w:val="single"/>
        </w:rPr>
        <w:t xml:space="preserve">Ce n’est que par une nouvelle procédure que l’abrogation de ces nouveaux arrêtés peut </w:t>
      </w:r>
      <w:r w:rsidR="00083D9E" w:rsidRPr="00355A88">
        <w:rPr>
          <w:rFonts w:cstheme="minorHAnsi"/>
          <w:b/>
          <w:bCs/>
          <w:i/>
          <w:iCs/>
          <w:color w:val="FF0000"/>
          <w:kern w:val="0"/>
          <w:u w:val="single"/>
        </w:rPr>
        <w:t xml:space="preserve">le cas échéant </w:t>
      </w:r>
      <w:r w:rsidR="00863058" w:rsidRPr="00355A88">
        <w:rPr>
          <w:rFonts w:cstheme="minorHAnsi"/>
          <w:b/>
          <w:bCs/>
          <w:i/>
          <w:iCs/>
          <w:color w:val="FF0000"/>
          <w:kern w:val="0"/>
          <w:u w:val="single"/>
        </w:rPr>
        <w:t xml:space="preserve">être </w:t>
      </w:r>
      <w:r w:rsidR="00083D9E" w:rsidRPr="00355A88">
        <w:rPr>
          <w:rFonts w:cstheme="minorHAnsi"/>
          <w:b/>
          <w:bCs/>
          <w:i/>
          <w:iCs/>
          <w:color w:val="FF0000"/>
          <w:kern w:val="0"/>
          <w:u w:val="single"/>
        </w:rPr>
        <w:t>obtenue.</w:t>
      </w:r>
    </w:p>
    <w:p w14:paraId="04ABF9D2" w14:textId="77777777" w:rsidR="007604A7" w:rsidRPr="00DB458B" w:rsidRDefault="007604A7" w:rsidP="007604A7"/>
    <w:sectPr w:rsidR="007604A7" w:rsidRPr="00DB4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3B"/>
    <w:rsid w:val="00066D2C"/>
    <w:rsid w:val="00083D9E"/>
    <w:rsid w:val="000C61B2"/>
    <w:rsid w:val="0015400F"/>
    <w:rsid w:val="0018662F"/>
    <w:rsid w:val="00187B1B"/>
    <w:rsid w:val="001B747E"/>
    <w:rsid w:val="002758C6"/>
    <w:rsid w:val="00287C8F"/>
    <w:rsid w:val="00341C67"/>
    <w:rsid w:val="00355A88"/>
    <w:rsid w:val="00362042"/>
    <w:rsid w:val="003627EE"/>
    <w:rsid w:val="0054713B"/>
    <w:rsid w:val="00647B4D"/>
    <w:rsid w:val="006E11B6"/>
    <w:rsid w:val="00754F29"/>
    <w:rsid w:val="007604A7"/>
    <w:rsid w:val="007809F2"/>
    <w:rsid w:val="00783A51"/>
    <w:rsid w:val="00821B0D"/>
    <w:rsid w:val="00863058"/>
    <w:rsid w:val="009645D9"/>
    <w:rsid w:val="00AC091D"/>
    <w:rsid w:val="00AE30A0"/>
    <w:rsid w:val="00B26404"/>
    <w:rsid w:val="00CB4964"/>
    <w:rsid w:val="00CE16FC"/>
    <w:rsid w:val="00D43C0C"/>
    <w:rsid w:val="00DB458B"/>
    <w:rsid w:val="00E073E5"/>
    <w:rsid w:val="00EA14BF"/>
    <w:rsid w:val="00F06C97"/>
    <w:rsid w:val="00F2335C"/>
    <w:rsid w:val="00F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00D3"/>
  <w15:chartTrackingRefBased/>
  <w15:docId w15:val="{BD5009D6-1A14-479A-8483-AD385B19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6204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2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1212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COUTURIER_2023</dc:creator>
  <cp:keywords/>
  <dc:description/>
  <cp:lastModifiedBy>Bernard DEPIERRE</cp:lastModifiedBy>
  <cp:revision>8</cp:revision>
  <dcterms:created xsi:type="dcterms:W3CDTF">2024-07-04T08:23:00Z</dcterms:created>
  <dcterms:modified xsi:type="dcterms:W3CDTF">2024-07-07T10:20:00Z</dcterms:modified>
</cp:coreProperties>
</file>